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998" w:rsidRDefault="003264FA">
      <w:pPr>
        <w:spacing w:before="120" w:after="120" w:line="240" w:lineRule="auto"/>
        <w:ind w:firstLine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Общее правило при тестировании форм отчётности 1.1-1.4: незаполненных ячеек быть не может. Ниже приведены разрешения по заполнению ячеек в формах. При наличии пустой ячейки выводится сообщение вида: «Ячейка должна быть заполнена» с указанием строки и графы ячейки.</w:t>
      </w:r>
    </w:p>
    <w:p w:rsidR="00342998" w:rsidRDefault="003264FA">
      <w:pPr>
        <w:spacing w:before="120" w:after="120" w:line="240" w:lineRule="auto"/>
        <w:ind w:firstLine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>Форма 1.4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559"/>
      </w:tblGrid>
      <w:tr w:rsidR="00342998">
        <w:tc>
          <w:tcPr>
            <w:tcW w:w="1271" w:type="dxa"/>
            <w:vAlign w:val="center"/>
          </w:tcPr>
          <w:p w:rsidR="00342998" w:rsidRDefault="003264F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Графа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«-»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«Прим.»</w:t>
            </w:r>
          </w:p>
        </w:tc>
        <w:tc>
          <w:tcPr>
            <w:tcW w:w="1559" w:type="dxa"/>
          </w:tcPr>
          <w:p w:rsidR="00342998" w:rsidRDefault="00326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Минобороны</w:t>
            </w: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59" w:type="dxa"/>
          </w:tcPr>
          <w:p w:rsidR="00342998" w:rsidRDefault="00326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Минобороны</w:t>
            </w: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59" w:type="dxa"/>
          </w:tcPr>
          <w:p w:rsidR="00342998" w:rsidRDefault="00326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Минобороны</w:t>
            </w: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  <w:tr w:rsidR="00342998">
        <w:tc>
          <w:tcPr>
            <w:tcW w:w="127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418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342998" w:rsidRDefault="003264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342998" w:rsidRDefault="00342998">
            <w:pPr>
              <w:rPr>
                <w:rFonts w:ascii="Times New Roman" w:hAnsi="Times New Roman" w:cs="Times New Roman"/>
              </w:rPr>
            </w:pPr>
          </w:p>
        </w:tc>
      </w:tr>
    </w:tbl>
    <w:p w:rsidR="00342998" w:rsidRDefault="00342998">
      <w:pPr>
        <w:ind w:firstLine="284"/>
        <w:rPr>
          <w:rFonts w:ascii="Times New Roman" w:hAnsi="Times New Roman" w:cs="Times New Roman"/>
        </w:rPr>
      </w:pPr>
    </w:p>
    <w:p w:rsidR="00342998" w:rsidRDefault="00342998">
      <w:pPr>
        <w:ind w:firstLine="284"/>
        <w:rPr>
          <w:rFonts w:ascii="Times New Roman" w:hAnsi="Times New Roman" w:cs="Times New Roman"/>
        </w:rPr>
      </w:pPr>
    </w:p>
    <w:p w:rsidR="00342998" w:rsidRDefault="003264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42998" w:rsidRDefault="003264FA">
      <w:pPr>
        <w:pStyle w:val="3"/>
      </w:pPr>
      <w:bookmarkStart w:id="0" w:name="_Toc95308447"/>
      <w:r>
        <w:lastRenderedPageBreak/>
        <w:t>Проверки в отношении формы 1.4</w:t>
      </w:r>
      <w:bookmarkEnd w:id="0"/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2887"/>
        <w:gridCol w:w="2296"/>
        <w:gridCol w:w="2722"/>
        <w:gridCol w:w="5662"/>
      </w:tblGrid>
      <w:tr w:rsidR="00342998">
        <w:trPr>
          <w:trHeight w:val="279"/>
          <w:tblHeader/>
          <w:jc w:val="center"/>
        </w:trPr>
        <w:tc>
          <w:tcPr>
            <w:tcW w:w="737" w:type="dxa"/>
            <w:vMerge w:val="restart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87" w:type="dxa"/>
            <w:vMerge w:val="restart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Графа формы ОРП</w:t>
            </w:r>
          </w:p>
        </w:tc>
        <w:tc>
          <w:tcPr>
            <w:tcW w:w="2296" w:type="dxa"/>
            <w:vMerge w:val="restart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Устранение ошибки пользователем</w:t>
            </w:r>
          </w:p>
        </w:tc>
        <w:tc>
          <w:tcPr>
            <w:tcW w:w="8384" w:type="dxa"/>
            <w:gridSpan w:val="2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Правило контроля отдельных форм отчетности</w:t>
            </w:r>
          </w:p>
        </w:tc>
      </w:tr>
      <w:tr w:rsidR="00342998" w:rsidTr="0015763E">
        <w:trPr>
          <w:trHeight w:val="278"/>
          <w:tblHeader/>
          <w:jc w:val="center"/>
        </w:trPr>
        <w:tc>
          <w:tcPr>
            <w:tcW w:w="737" w:type="dxa"/>
            <w:vMerge/>
            <w:shd w:val="clear" w:color="auto" w:fill="F3F3F3"/>
          </w:tcPr>
          <w:p w:rsidR="00342998" w:rsidRDefault="00342998">
            <w:pPr>
              <w:spacing w:after="0"/>
              <w:jc w:val="center"/>
            </w:pPr>
          </w:p>
        </w:tc>
        <w:tc>
          <w:tcPr>
            <w:tcW w:w="2887" w:type="dxa"/>
            <w:vMerge/>
            <w:shd w:val="clear" w:color="auto" w:fill="F3F3F3"/>
          </w:tcPr>
          <w:p w:rsidR="00342998" w:rsidRDefault="00342998">
            <w:pPr>
              <w:spacing w:after="0"/>
              <w:jc w:val="center"/>
            </w:pPr>
          </w:p>
        </w:tc>
        <w:tc>
          <w:tcPr>
            <w:tcW w:w="2296" w:type="dxa"/>
            <w:vMerge/>
            <w:shd w:val="clear" w:color="auto" w:fill="F3F3F3"/>
          </w:tcPr>
          <w:p w:rsidR="00342998" w:rsidRDefault="00342998">
            <w:pPr>
              <w:spacing w:after="0"/>
              <w:jc w:val="center"/>
            </w:pPr>
          </w:p>
        </w:tc>
        <w:tc>
          <w:tcPr>
            <w:tcW w:w="2722" w:type="dxa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Контроль ввода данных </w:t>
            </w:r>
            <w:r>
              <w:rPr>
                <w:b/>
              </w:rPr>
              <w:br/>
              <w:t>в формы отчетности</w:t>
            </w:r>
          </w:p>
        </w:tc>
        <w:tc>
          <w:tcPr>
            <w:tcW w:w="5662" w:type="dxa"/>
            <w:shd w:val="clear" w:color="auto" w:fill="F3F3F3"/>
          </w:tcPr>
          <w:p w:rsidR="00342998" w:rsidRDefault="003264F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Проверки при тестировании форм отчетности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Порядковый номер строки в таблице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–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Заполняется автоматически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 xml:space="preserve">При фильтрации номер строки не должен меняться. 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Код операции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 xml:space="preserve">Ввод по справочнику </w:t>
            </w:r>
          </w:p>
          <w:p w:rsidR="00342998" w:rsidRDefault="003264FA">
            <w:pPr>
              <w:spacing w:after="0"/>
            </w:pPr>
            <w:r>
              <w:t xml:space="preserve">в соответствии с Приказом </w:t>
            </w:r>
          </w:p>
          <w:p w:rsidR="00342998" w:rsidRDefault="003264FA">
            <w:pPr>
              <w:spacing w:after="0"/>
            </w:pPr>
            <w:r>
              <w:t>(Таблица 1. Коды операций и сроки представления отчета о них).</w:t>
            </w:r>
          </w:p>
          <w:p w:rsidR="00342998" w:rsidRDefault="00342998">
            <w:pPr>
              <w:spacing w:after="0"/>
            </w:pPr>
          </w:p>
          <w:p w:rsidR="00342998" w:rsidRPr="0015763E" w:rsidRDefault="003264FA">
            <w:pPr>
              <w:spacing w:after="0"/>
              <w:rPr>
                <w:b/>
              </w:rPr>
            </w:pPr>
            <w:r>
              <w:t xml:space="preserve">Используются коды операции для РВ (графа 3 таблицы 1 приказа), за исключением  </w:t>
            </w:r>
            <w:r w:rsidR="0015763E" w:rsidRPr="0015763E">
              <w:rPr>
                <w:b/>
              </w:rPr>
              <w:t xml:space="preserve">65, </w:t>
            </w:r>
            <w:r w:rsidRPr="0015763E">
              <w:rPr>
                <w:b/>
              </w:rPr>
              <w:t xml:space="preserve">66, 84,  88 </w:t>
            </w:r>
          </w:p>
          <w:p w:rsidR="00342998" w:rsidRDefault="00342998">
            <w:pPr>
              <w:spacing w:after="0"/>
            </w:pPr>
          </w:p>
          <w:p w:rsidR="00342998" w:rsidRDefault="003264FA" w:rsidP="0015763E">
            <w:pPr>
              <w:rPr>
                <w:rFonts w:ascii="Calibri" w:hAnsi="Calibri"/>
              </w:rPr>
            </w:pPr>
            <w:r>
              <w:t xml:space="preserve">10, 11, 12, 15, 17, 18, 21, 22, 25, 27, 28, 29, 31, 32, 35, 37, 38, 39, 41, 42, 43, 46, 47, 48,  </w:t>
            </w:r>
            <w:r w:rsidR="002F0E8B">
              <w:t xml:space="preserve">53, 54, </w:t>
            </w:r>
            <w:r>
              <w:t>58, 61, 62, 63, 64, 67, 68, 71, 72, 73, 74, 75, 81, 82, 83, 85, 86, 87, 97, 98, 99</w:t>
            </w:r>
          </w:p>
        </w:tc>
        <w:tc>
          <w:tcPr>
            <w:tcW w:w="566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1"/>
              <w:gridCol w:w="1942"/>
              <w:gridCol w:w="2323"/>
            </w:tblGrid>
            <w:tr w:rsidR="00342998">
              <w:tc>
                <w:tcPr>
                  <w:tcW w:w="0" w:type="auto"/>
                  <w:shd w:val="clear" w:color="auto" w:fill="D9D9D9"/>
                </w:tcPr>
                <w:p w:rsidR="00342998" w:rsidRDefault="003264FA">
                  <w:pPr>
                    <w:spacing w:after="0"/>
                  </w:pPr>
                  <w:r>
                    <w:t>Код операции</w:t>
                  </w:r>
                </w:p>
              </w:tc>
              <w:tc>
                <w:tcPr>
                  <w:tcW w:w="0" w:type="auto"/>
                  <w:shd w:val="clear" w:color="auto" w:fill="D9D9D9"/>
                </w:tcPr>
                <w:p w:rsidR="00342998" w:rsidRDefault="003264FA">
                  <w:pPr>
                    <w:spacing w:after="0"/>
                  </w:pPr>
                  <w:r>
                    <w:t>Проверка</w:t>
                  </w:r>
                </w:p>
              </w:tc>
              <w:tc>
                <w:tcPr>
                  <w:tcW w:w="0" w:type="auto"/>
                  <w:shd w:val="clear" w:color="auto" w:fill="D9D9D9"/>
                </w:tcPr>
                <w:p w:rsidR="00342998" w:rsidRDefault="003264FA">
                  <w:pPr>
                    <w:spacing w:after="0"/>
                  </w:pPr>
                  <w:r>
                    <w:t>Сообщение, в случае невыполнения требований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10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Проверка на соответствие СНК. 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Вывод таблицы несоответствий с сообщением:  «Сведения, представленные в инвентаризации не соответствуют СНК»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12, 42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Наличие в графе 6 хотя бы одного из перечисленных ниже радионуклидов: Плутоний; Уран-233, Уран-235; Нептуний-237; Америций-241; Америций-243; Калифорний-252; Торий; Литий-6; Тритий. 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 «В графе 6 не представлены  сведения о  радионуклидах, которые могут быть отнесены к ЯМ. Проверьте правильность выбранного кода операции»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29,39, 97,98,99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Наличие примечания к графе. 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«Необходимо дать пояснение об осуществленной операции».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  <w:rPr>
                      <w:highlight w:val="green"/>
                    </w:rPr>
                  </w:pPr>
                  <w:r w:rsidRPr="00C356A3">
                    <w:t>21, 22, 25, 27, 28, 29, 41, 42, 43, 46</w:t>
                  </w:r>
                  <w:r w:rsidRPr="009E165E">
                    <w:t xml:space="preserve">, </w:t>
                  </w:r>
                  <w:r w:rsidR="00C356A3" w:rsidRPr="009E165E">
                    <w:t>61</w:t>
                  </w:r>
                  <w:r w:rsidR="00C356A3" w:rsidRPr="00C356A3">
                    <w:t xml:space="preserve">, </w:t>
                  </w:r>
                  <w:r w:rsidRPr="00C356A3">
                    <w:t>65,  67, 68, 71, 72, 81, 82, 83, 98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Проверка наличия учетной единицы в организации. В СНК должна быть в наличии учетная единица с идентичными параметрами в графах 4-1</w:t>
                  </w:r>
                  <w:r w:rsidR="0015763E">
                    <w:t>2</w:t>
                  </w:r>
                  <w:r>
                    <w:t>.</w:t>
                  </w:r>
                </w:p>
                <w:p w:rsidR="00342998" w:rsidRDefault="00342998">
                  <w:pPr>
                    <w:spacing w:after="0"/>
                  </w:pPr>
                </w:p>
                <w:p w:rsidR="00342998" w:rsidRDefault="00342998">
                  <w:pPr>
                    <w:spacing w:after="0"/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«Учетной единицы с такими параметрами нет в организации. Проверьте правильность указываемых сведений для ОРИ»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37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Должна быть строка с такой же учетной единицей с кодом операции 27 в ранее представленных отчетах. </w:t>
                  </w:r>
                </w:p>
                <w:p w:rsidR="00342998" w:rsidRDefault="00342998">
                  <w:pPr>
                    <w:spacing w:after="0"/>
                  </w:pPr>
                </w:p>
                <w:p w:rsidR="00342998" w:rsidRDefault="003264FA" w:rsidP="0015763E">
                  <w:pPr>
                    <w:spacing w:after="0"/>
                  </w:pPr>
                  <w:r>
                    <w:t>Учетная единица определяется по графам 4-1</w:t>
                  </w:r>
                  <w:r w:rsidR="0015763E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«В отчетах не найдена строка об осуществлении передачи учетной единицы. Проверьте правильность выбранного кода операции»</w:t>
                  </w:r>
                </w:p>
              </w:tc>
            </w:tr>
            <w:tr w:rsidR="00342998"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41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Наличие отчета по форме 1.6 с той же учетной единицей.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«Заполните форму 1.6»</w:t>
                  </w:r>
                </w:p>
              </w:tc>
            </w:tr>
            <w:tr w:rsidR="00342998">
              <w:trPr>
                <w:trHeight w:val="104"/>
              </w:trPr>
              <w:tc>
                <w:tcPr>
                  <w:tcW w:w="0" w:type="auto"/>
                  <w:shd w:val="clear" w:color="auto" w:fill="auto"/>
                </w:tcPr>
                <w:p w:rsidR="00342998" w:rsidRPr="002F0E8B" w:rsidRDefault="003264FA">
                  <w:pPr>
                    <w:spacing w:after="0"/>
                  </w:pPr>
                  <w:r w:rsidRPr="002F0E8B">
                    <w:t>54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Pr="002F0E8B" w:rsidRDefault="003264FA" w:rsidP="002F0E8B">
                  <w:pPr>
                    <w:spacing w:after="0"/>
                  </w:pPr>
                  <w:r w:rsidRPr="002F0E8B">
                    <w:t>В графе 1</w:t>
                  </w:r>
                  <w:r w:rsidR="002F0E8B">
                    <w:t>8</w:t>
                  </w:r>
                  <w:r w:rsidRPr="002F0E8B">
                    <w:t xml:space="preserve"> код ОКПО </w:t>
                  </w:r>
                  <w:r w:rsidRPr="002F0E8B">
                    <w:rPr>
                      <w:b/>
                    </w:rPr>
                    <w:t>НЕ</w:t>
                  </w:r>
                  <w:r w:rsidRPr="002F0E8B">
                    <w:t xml:space="preserve"> отчитывающейся организации 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Pr="002F0E8B" w:rsidRDefault="003264FA" w:rsidP="002F0E8B">
                  <w:pPr>
                    <w:spacing w:after="0"/>
                  </w:pPr>
                  <w:r w:rsidRPr="002F0E8B">
                    <w:t>«В графе 1</w:t>
                  </w:r>
                  <w:r w:rsidR="002F0E8B">
                    <w:t>8</w:t>
                  </w:r>
                  <w:r w:rsidRPr="002F0E8B">
                    <w:t xml:space="preserve"> необходимо указать ОКПО подрядной организации»</w:t>
                  </w:r>
                </w:p>
              </w:tc>
            </w:tr>
            <w:tr w:rsidR="00342998">
              <w:trPr>
                <w:trHeight w:val="104"/>
              </w:trPr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58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 w:rsidP="002F0E8B">
                  <w:pPr>
                    <w:spacing w:after="0"/>
                  </w:pPr>
                  <w:r>
                    <w:t xml:space="preserve">Проверка наличия кода операции 46, графы </w:t>
                  </w:r>
                  <w:r w:rsidR="002F0E8B">
                    <w:t>5, 7</w:t>
                  </w:r>
                  <w:r>
                    <w:t xml:space="preserve">, </w:t>
                  </w:r>
                  <w:r w:rsidR="002F0E8B">
                    <w:t>12</w:t>
                  </w:r>
                  <w:r>
                    <w:t xml:space="preserve"> должны совпадать. 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«В отчетах не найдены сведения о снятии с учета учетной единицы для разукомплектования. Проверьте правильность выбранного кода операции»</w:t>
                  </w:r>
                </w:p>
              </w:tc>
            </w:tr>
            <w:tr w:rsidR="00342998">
              <w:trPr>
                <w:trHeight w:val="104"/>
              </w:trPr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62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Проверка наличия кода операции 61 с той же учетной единицей. </w:t>
                  </w:r>
                </w:p>
                <w:p w:rsidR="00342998" w:rsidRDefault="00342998">
                  <w:pPr>
                    <w:spacing w:after="0"/>
                  </w:pPr>
                </w:p>
                <w:p w:rsidR="00342998" w:rsidRDefault="003264FA">
                  <w:pPr>
                    <w:spacing w:after="0"/>
                  </w:pPr>
                  <w:r>
                    <w:t>Учетная еди</w:t>
                  </w:r>
                  <w:r w:rsidR="002F0E8B">
                    <w:t>ница определяется по графам 4-12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«В отчетах не найдены сведения о вывозе учетной единицы. Проверьте правильность выбранного кода операции»</w:t>
                  </w:r>
                </w:p>
              </w:tc>
            </w:tr>
          </w:tbl>
          <w:p w:rsidR="00342998" w:rsidRDefault="00342998">
            <w:pPr>
              <w:spacing w:after="0"/>
            </w:pPr>
          </w:p>
        </w:tc>
      </w:tr>
      <w:tr w:rsidR="00C356A3" w:rsidTr="00C356A3">
        <w:trPr>
          <w:jc w:val="center"/>
        </w:trPr>
        <w:tc>
          <w:tcPr>
            <w:tcW w:w="737" w:type="dxa"/>
          </w:tcPr>
          <w:p w:rsidR="00C356A3" w:rsidRDefault="00C356A3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C356A3" w:rsidRDefault="00C356A3">
            <w:pPr>
              <w:spacing w:after="0"/>
            </w:pPr>
            <w:r>
              <w:t>Дата операции</w:t>
            </w:r>
          </w:p>
        </w:tc>
        <w:tc>
          <w:tcPr>
            <w:tcW w:w="2296" w:type="dxa"/>
          </w:tcPr>
          <w:p w:rsidR="00C356A3" w:rsidRDefault="00C356A3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C356A3" w:rsidRDefault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  <w:r>
              <w:t>Формат дата</w:t>
            </w:r>
          </w:p>
        </w:tc>
        <w:tc>
          <w:tcPr>
            <w:tcW w:w="5662" w:type="dxa"/>
          </w:tcPr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  <w:r>
              <w:t>В соответствии с Приказом (Таблица 1. Коды операций и сроки представления отчета о них).</w:t>
            </w: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</w:pPr>
            <w:r>
              <w:t>Дата операции должна попадать в отчетный период.</w:t>
            </w:r>
            <w:r>
              <w:tab/>
            </w: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</w:pP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</w:pPr>
            <w:r>
              <w:t>Если нет сообщение «Дата операции не входит в отчетный период»</w:t>
            </w: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  <w:r>
              <w:t>Исключение код операции 10:</w:t>
            </w:r>
          </w:p>
          <w:p w:rsidR="00C356A3" w:rsidRDefault="00C356A3" w:rsidP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  <w:r>
              <w:t>Для операции 10 – в период должна попасть дата документа (графа 18) (документ=акт).</w:t>
            </w:r>
          </w:p>
          <w:p w:rsidR="00C356A3" w:rsidRDefault="00C356A3">
            <w:pPr>
              <w:pStyle w:val="af8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</w:pP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 w:rsidP="0015763E">
            <w:pPr>
              <w:spacing w:after="0"/>
            </w:pPr>
            <w:r>
              <w:t>Номер паспорта ОР</w:t>
            </w:r>
            <w:r w:rsidR="0015763E">
              <w:t>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42998">
            <w:pPr>
              <w:spacing w:after="0"/>
            </w:pPr>
          </w:p>
        </w:tc>
        <w:tc>
          <w:tcPr>
            <w:tcW w:w="5662" w:type="dxa"/>
          </w:tcPr>
          <w:p w:rsidR="00342998" w:rsidRPr="0015763E" w:rsidRDefault="003264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пустое поле. 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15763E">
            <w:pPr>
              <w:spacing w:after="0"/>
            </w:pPr>
            <w:r>
              <w:t>Наименование ОРИ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42998">
            <w:pPr>
              <w:spacing w:after="0"/>
            </w:pPr>
          </w:p>
        </w:tc>
        <w:tc>
          <w:tcPr>
            <w:tcW w:w="5662" w:type="dxa"/>
          </w:tcPr>
          <w:p w:rsidR="00342998" w:rsidRPr="0015763E" w:rsidRDefault="003264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пустое поле. 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15763E">
            <w:pPr>
              <w:spacing w:after="0"/>
            </w:pPr>
            <w:r>
              <w:t>Вид ОРИ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Формат целое положительное число в диапазоне 4-12 включительно.</w:t>
            </w:r>
          </w:p>
        </w:tc>
        <w:tc>
          <w:tcPr>
            <w:tcW w:w="5662" w:type="dxa"/>
          </w:tcPr>
          <w:p w:rsidR="00342998" w:rsidRDefault="003264FA" w:rsidP="0015763E">
            <w:pPr>
              <w:pStyle w:val="anum"/>
              <w:tabs>
                <w:tab w:val="clear" w:pos="1069"/>
              </w:tabs>
              <w:spacing w:line="240" w:lineRule="auto"/>
              <w:ind w:left="0" w:firstLine="0"/>
            </w:pPr>
            <w:r>
              <w:rPr>
                <w:spacing w:val="-6"/>
                <w:sz w:val="24"/>
                <w:szCs w:val="24"/>
              </w:rPr>
              <w:t>Вид ОР</w:t>
            </w:r>
            <w:r w:rsidR="0015763E">
              <w:rPr>
                <w:spacing w:val="-6"/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в соответствии с таблицей 4 «Виды ОРИ» </w:t>
            </w:r>
            <w:r>
              <w:rPr>
                <w:sz w:val="24"/>
                <w:szCs w:val="24"/>
                <w:lang w:eastAsia="ar-SA"/>
              </w:rPr>
              <w:t>приказа Госкорпорации «Росатом» от 07.12.2020 № 1/13-НПА</w:t>
            </w:r>
            <w:r>
              <w:rPr>
                <w:spacing w:val="-6"/>
                <w:sz w:val="24"/>
                <w:szCs w:val="24"/>
              </w:rPr>
              <w:t>.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Список радионуклидов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Формат соответствует справочнику радионуклидов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 xml:space="preserve">Радионуклиды должны быть разделены точной с запятой. </w:t>
            </w:r>
          </w:p>
          <w:p w:rsidR="00342998" w:rsidRDefault="00342998">
            <w:pPr>
              <w:spacing w:after="0"/>
            </w:pPr>
          </w:p>
          <w:p w:rsidR="00342998" w:rsidRDefault="003264FA">
            <w:pPr>
              <w:spacing w:after="0"/>
            </w:pPr>
            <w:r>
              <w:t>Если нет сообщение «Формат ввода данных не соответствует приказу»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Активность по паспорту в Бк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Формат заполнения поля (цифры, либо экспоненциальное представление)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Сравнение значения суммарной активности (Aо) радионуклида с МЗА или МЗУА из таблицы 1 приложения 1 к НП 067-16 (по радионуклидам).</w:t>
            </w:r>
          </w:p>
          <w:p w:rsidR="00342998" w:rsidRDefault="00342998">
            <w:pPr>
              <w:spacing w:after="0"/>
            </w:pPr>
          </w:p>
          <w:p w:rsidR="00342998" w:rsidRDefault="003264FA">
            <w:pPr>
              <w:spacing w:after="0"/>
            </w:pPr>
            <w:r>
              <w:t>Если в графе 7 указан один радионуклид, то для него берется значение МЗА и МЗУА из таблицы и значение активности и из графы 8 (Ао), если Ао&lt;МЗА и Ао &lt;МЗУА, то сообщение «Активность ниже МЗА и ниже МЗУА, ОРИ не является объектом учета СГУК РВ и РАО»</w:t>
            </w:r>
          </w:p>
          <w:p w:rsidR="00342998" w:rsidRDefault="00342998">
            <w:pPr>
              <w:spacing w:after="0"/>
            </w:pPr>
          </w:p>
          <w:p w:rsidR="00342998" w:rsidRDefault="003264FA">
            <w:pPr>
              <w:spacing w:after="0"/>
            </w:pPr>
            <w:r>
              <w:t>Если в графе 7 указано несколько радионуклидов, без указания процентной доли каждого радионуклида по активности, то из таблицы берется значение радионуклида с наименьшей МЗА и МЗУА и значение активности из графы 8 (Ао) и если Ао&lt;МЗА и Ао &lt;МЗУА, то сообщение «Активность ниже МЗУА и ниже МЗУА, ОРИ не является объектом учета СГУК РВ и РАО»</w:t>
            </w:r>
          </w:p>
          <w:p w:rsidR="00342998" w:rsidRDefault="00342998">
            <w:pPr>
              <w:spacing w:after="0"/>
            </w:pPr>
          </w:p>
          <w:p w:rsidR="00342998" w:rsidRDefault="003264FA">
            <w:pPr>
              <w:spacing w:after="0"/>
            </w:pPr>
            <w:r>
              <w:t>Для равновесных радионуклидов (радионуклиды приведены в НП-067-16 приложении 1 и помечены &lt;*&gt;) считается по радионуклиду, который в основной таблице. Дочерние радионуклиды в расчете не участвуют.</w:t>
            </w:r>
          </w:p>
          <w:p w:rsidR="00342998" w:rsidRDefault="003264FA">
            <w:pPr>
              <w:spacing w:after="0"/>
            </w:pPr>
            <w:r>
              <w:t>Максимальное значение 10Е+20 Бк, если выше сообщение: «Проверьте правильность предоставления сведений по суммарной активности»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Дата измерения активности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tabs>
                <w:tab w:val="num" w:pos="720"/>
              </w:tabs>
              <w:spacing w:after="0"/>
            </w:pPr>
            <w:r>
              <w:t>Формат дата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Дата измерения ≤ Даты операции</w:t>
            </w:r>
          </w:p>
          <w:p w:rsidR="00342998" w:rsidRDefault="003264FA">
            <w:pPr>
              <w:spacing w:after="0"/>
            </w:pPr>
            <w:r>
              <w:t xml:space="preserve">Если нет  сообщение «Дата измерения не может быть позже даты операции» 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Объем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Целые положительные числа.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Не пустое поле.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Масса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Целые положительные числа.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Не пустое поле.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Агрегатное состояние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По справочнику 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Не пустое поле.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Код формы собственности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Таблица 2 приложения к приказу 1/13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Выбор из таблицы</w:t>
            </w:r>
          </w:p>
        </w:tc>
      </w:tr>
      <w:tr w:rsidR="00342998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Код ОКПО правообладателя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8384" w:type="dxa"/>
            <w:gridSpan w:val="2"/>
          </w:tcPr>
          <w:p w:rsidR="00342998" w:rsidRDefault="003264FA">
            <w:pPr>
              <w:spacing w:after="0"/>
            </w:pPr>
            <w:r>
              <w:t>Формат заполнения поля</w:t>
            </w:r>
          </w:p>
          <w:p w:rsidR="00342998" w:rsidRDefault="00342998">
            <w:pPr>
              <w:spacing w:after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4507"/>
            </w:tblGrid>
            <w:tr w:rsidR="00342998">
              <w:tc>
                <w:tcPr>
                  <w:tcW w:w="1304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Код формы собственности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Возможные форматы </w:t>
                  </w:r>
                </w:p>
              </w:tc>
            </w:tr>
            <w:tr w:rsidR="00342998">
              <w:trPr>
                <w:trHeight w:val="288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1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Российская Федерация</w:t>
                  </w:r>
                </w:p>
              </w:tc>
            </w:tr>
            <w:tr w:rsidR="00342998">
              <w:trPr>
                <w:trHeight w:val="216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342998" w:rsidRDefault="00342998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цифры, проверяется длина значения поля: 8 или 14 символов, в т.ч. значимые 0</w:t>
                  </w:r>
                </w:p>
              </w:tc>
            </w:tr>
            <w:tr w:rsidR="00342998">
              <w:trPr>
                <w:trHeight w:val="202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2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Выбор одного субъекта РФ из списка</w:t>
                  </w:r>
                </w:p>
              </w:tc>
            </w:tr>
            <w:tr w:rsidR="00342998">
              <w:trPr>
                <w:trHeight w:val="302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342998" w:rsidRDefault="00342998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цифры, проверяется длина значения по-ля: 8 или 14 символов, в т.ч. значимые 0</w:t>
                  </w:r>
                </w:p>
              </w:tc>
            </w:tr>
            <w:tr w:rsidR="00342998">
              <w:trPr>
                <w:trHeight w:val="274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3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 xml:space="preserve">Название муниципалитета </w:t>
                  </w:r>
                </w:p>
              </w:tc>
            </w:tr>
            <w:tr w:rsidR="00342998">
              <w:trPr>
                <w:trHeight w:val="230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342998" w:rsidRDefault="00342998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цифры, проверяется длина значения по-ля: 8 или 14 символов, в т.ч. значимые 0</w:t>
                  </w:r>
                </w:p>
              </w:tc>
            </w:tr>
            <w:tr w:rsidR="00342998">
              <w:tc>
                <w:tcPr>
                  <w:tcW w:w="1304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4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цифры, проверяется длина значения поля: 8 или 14 символов, в т.ч. значимые 0</w:t>
                  </w:r>
                </w:p>
              </w:tc>
            </w:tr>
            <w:tr w:rsidR="00342998">
              <w:tc>
                <w:tcPr>
                  <w:tcW w:w="1304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5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Выбор страны из справочника ОКСМ</w:t>
                  </w:r>
                </w:p>
              </w:tc>
            </w:tr>
            <w:tr w:rsidR="00342998">
              <w:tc>
                <w:tcPr>
                  <w:tcW w:w="1304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6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Выбор страны из справочника ОКСМ, обязательно примечание к ячейке</w:t>
                  </w:r>
                </w:p>
              </w:tc>
            </w:tr>
            <w:tr w:rsidR="00342998">
              <w:tc>
                <w:tcPr>
                  <w:tcW w:w="1304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9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342998" w:rsidRDefault="003264FA">
                  <w:pPr>
                    <w:spacing w:after="0"/>
                  </w:pPr>
                  <w:r>
                    <w:t>Текст, обязательно примечание</w:t>
                  </w:r>
                </w:p>
              </w:tc>
            </w:tr>
          </w:tbl>
          <w:p w:rsidR="00342998" w:rsidRDefault="00342998">
            <w:pPr>
              <w:spacing w:after="0"/>
            </w:pPr>
          </w:p>
          <w:p w:rsidR="00342998" w:rsidRDefault="003264FA">
            <w:pPr>
              <w:widowControl w:val="0"/>
              <w:tabs>
                <w:tab w:val="left" w:pos="397"/>
              </w:tabs>
              <w:spacing w:after="0"/>
            </w:pPr>
            <w:r>
              <w:t>Проверка на наличие примечания для кода формы собственности 6 и 9, при  отсутствии сообщение: «Необходимо указать в примечании наименование и адрес правообладателя (собственника или обладателя иного вещного права) на ОРИ»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Код вида документа, сопровождающего операцию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По таблице 3 Приложения 2 к Приказу 1/13-НПА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Допустимо значение: 1-15, 19.</w:t>
            </w:r>
          </w:p>
        </w:tc>
      </w:tr>
      <w:tr w:rsidR="009E165E" w:rsidTr="0015763E">
        <w:trPr>
          <w:jc w:val="center"/>
        </w:trPr>
        <w:tc>
          <w:tcPr>
            <w:tcW w:w="737" w:type="dxa"/>
          </w:tcPr>
          <w:p w:rsidR="009E165E" w:rsidRDefault="009E165E" w:rsidP="009E165E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9E165E" w:rsidRDefault="009E165E" w:rsidP="009E165E">
            <w:pPr>
              <w:spacing w:after="0"/>
            </w:pPr>
            <w:r>
              <w:t>Номер документа, сопровождающего операцию</w:t>
            </w:r>
          </w:p>
        </w:tc>
        <w:tc>
          <w:tcPr>
            <w:tcW w:w="2296" w:type="dxa"/>
          </w:tcPr>
          <w:p w:rsidR="009E165E" w:rsidRDefault="009E165E" w:rsidP="009E165E">
            <w:pPr>
              <w:widowControl w:val="0"/>
              <w:spacing w:after="0"/>
              <w:jc w:val="center"/>
            </w:pPr>
            <w:r>
              <w:t>–</w:t>
            </w:r>
          </w:p>
        </w:tc>
        <w:tc>
          <w:tcPr>
            <w:tcW w:w="2722" w:type="dxa"/>
          </w:tcPr>
          <w:p w:rsidR="009E165E" w:rsidRPr="00A90BE2" w:rsidRDefault="009E165E" w:rsidP="009E165E">
            <w:pPr>
              <w:spacing w:after="0"/>
            </w:pPr>
            <w:r w:rsidRPr="00A90BE2">
              <w:t>–</w:t>
            </w:r>
          </w:p>
        </w:tc>
        <w:tc>
          <w:tcPr>
            <w:tcW w:w="5662" w:type="dxa"/>
          </w:tcPr>
          <w:p w:rsidR="009E165E" w:rsidRPr="00A90BE2" w:rsidRDefault="009E165E" w:rsidP="009E165E">
            <w:pPr>
              <w:spacing w:after="0"/>
            </w:pPr>
            <w:r w:rsidRPr="00A90BE2">
              <w:t>Не пустое поле.</w:t>
            </w:r>
          </w:p>
        </w:tc>
      </w:tr>
      <w:tr w:rsidR="00342998" w:rsidTr="0015763E">
        <w:trPr>
          <w:trHeight w:val="1114"/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Дата документа, сопровождающего операцию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Формат дата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 xml:space="preserve">Дата операции ≤ Дата документа. </w:t>
            </w:r>
          </w:p>
          <w:p w:rsidR="00342998" w:rsidRDefault="003264FA">
            <w:pPr>
              <w:spacing w:after="0"/>
            </w:pPr>
            <w:r>
              <w:t>Если нет сообщение: «Дата документа не может быть позже даты операции».</w:t>
            </w:r>
          </w:p>
          <w:p w:rsidR="00342998" w:rsidRDefault="003264FA">
            <w:pPr>
              <w:spacing w:after="0"/>
            </w:pPr>
            <w:r>
              <w:t>Для операций с кодом 41: Дата операции = Дата документа</w:t>
            </w:r>
          </w:p>
          <w:p w:rsidR="00342998" w:rsidRDefault="003264FA">
            <w:pPr>
              <w:spacing w:after="0"/>
            </w:pPr>
            <w:r>
              <w:t>Если нет сообщение: «Дата документа должна соответствовать дате операции».</w:t>
            </w:r>
          </w:p>
          <w:p w:rsidR="00342998" w:rsidRDefault="003264FA">
            <w:pPr>
              <w:spacing w:after="0"/>
            </w:pPr>
            <w:r>
              <w:t xml:space="preserve">Для операций с кодом 10. Дата документа должна быть в границах периода предоставления отчета. </w:t>
            </w:r>
          </w:p>
          <w:p w:rsidR="00342998" w:rsidRDefault="003264FA">
            <w:pPr>
              <w:spacing w:after="0"/>
            </w:pPr>
            <w:r>
              <w:t>Если нет сообщение: «Дата документа выходит за границы периода»</w:t>
            </w:r>
          </w:p>
        </w:tc>
      </w:tr>
      <w:tr w:rsidR="00342998" w:rsidTr="0015763E">
        <w:trPr>
          <w:trHeight w:val="1166"/>
          <w:jc w:val="center"/>
        </w:trPr>
        <w:tc>
          <w:tcPr>
            <w:tcW w:w="737" w:type="dxa"/>
            <w:vMerge w:val="restart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  <w:vMerge w:val="restart"/>
          </w:tcPr>
          <w:p w:rsidR="00342998" w:rsidRDefault="003264FA">
            <w:pPr>
              <w:spacing w:after="0"/>
            </w:pPr>
            <w:r>
              <w:t>Код ОКПО поставщика или получателя</w:t>
            </w:r>
          </w:p>
        </w:tc>
        <w:tc>
          <w:tcPr>
            <w:tcW w:w="2296" w:type="dxa"/>
            <w:vMerge w:val="restart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  <w:shd w:val="clear" w:color="auto" w:fill="DEEAF6"/>
          </w:tcPr>
          <w:p w:rsidR="00342998" w:rsidRDefault="003264FA">
            <w:pPr>
              <w:widowControl w:val="0"/>
              <w:tabs>
                <w:tab w:val="left" w:pos="397"/>
              </w:tabs>
              <w:spacing w:after="0"/>
            </w:pPr>
            <w:r>
              <w:t>Автозаполнение</w:t>
            </w:r>
          </w:p>
        </w:tc>
        <w:tc>
          <w:tcPr>
            <w:tcW w:w="5662" w:type="dxa"/>
            <w:shd w:val="clear" w:color="auto" w:fill="DEEAF6"/>
          </w:tcPr>
          <w:p w:rsidR="00342998" w:rsidRDefault="003264FA" w:rsidP="0015763E">
            <w:pPr>
              <w:widowControl w:val="0"/>
              <w:tabs>
                <w:tab w:val="left" w:pos="397"/>
              </w:tabs>
              <w:spacing w:after="0" w:line="240" w:lineRule="auto"/>
            </w:pPr>
            <w:r>
              <w:t>Для операций 10, 11, 12, 15, 17,18, 41, 42, 43, 46</w:t>
            </w:r>
            <w:r w:rsidRPr="0015763E">
              <w:t>, 53,</w:t>
            </w:r>
            <w:r>
              <w:t xml:space="preserve"> 58, 61, 62, 67, 68, 71, 72, 72, 73, 74, 75, 76 – код ОКПО отчитывающейся организации;</w:t>
            </w:r>
          </w:p>
        </w:tc>
      </w:tr>
      <w:tr w:rsidR="00342998" w:rsidTr="0015763E">
        <w:trPr>
          <w:trHeight w:val="199"/>
          <w:jc w:val="center"/>
        </w:trPr>
        <w:tc>
          <w:tcPr>
            <w:tcW w:w="737" w:type="dxa"/>
            <w:vMerge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  <w:vMerge/>
          </w:tcPr>
          <w:p w:rsidR="00342998" w:rsidRDefault="00342998">
            <w:pPr>
              <w:spacing w:after="0"/>
            </w:pPr>
          </w:p>
        </w:tc>
        <w:tc>
          <w:tcPr>
            <w:tcW w:w="2296" w:type="dxa"/>
            <w:vMerge/>
          </w:tcPr>
          <w:p w:rsidR="00342998" w:rsidRDefault="00342998">
            <w:pPr>
              <w:widowControl w:val="0"/>
              <w:spacing w:after="0"/>
              <w:jc w:val="center"/>
            </w:pPr>
          </w:p>
        </w:tc>
        <w:tc>
          <w:tcPr>
            <w:tcW w:w="2722" w:type="dxa"/>
          </w:tcPr>
          <w:p w:rsidR="00342998" w:rsidRDefault="00342998">
            <w:pPr>
              <w:widowControl w:val="0"/>
              <w:tabs>
                <w:tab w:val="left" w:pos="397"/>
              </w:tabs>
              <w:spacing w:after="0"/>
            </w:pPr>
          </w:p>
        </w:tc>
        <w:tc>
          <w:tcPr>
            <w:tcW w:w="5662" w:type="dxa"/>
          </w:tcPr>
          <w:p w:rsidR="00342998" w:rsidRDefault="003264FA" w:rsidP="0015763E">
            <w:pPr>
              <w:widowControl w:val="0"/>
              <w:numPr>
                <w:ilvl w:val="0"/>
                <w:numId w:val="2"/>
              </w:numPr>
              <w:tabs>
                <w:tab w:val="left" w:pos="397"/>
              </w:tabs>
              <w:spacing w:after="0" w:line="240" w:lineRule="auto"/>
              <w:ind w:left="0" w:firstLine="0"/>
              <w:jc w:val="both"/>
            </w:pPr>
            <w:r>
              <w:t>Для других операций:</w:t>
            </w:r>
          </w:p>
          <w:p w:rsidR="00342998" w:rsidRDefault="003264FA" w:rsidP="0015763E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 w:line="240" w:lineRule="auto"/>
              <w:jc w:val="both"/>
            </w:pPr>
            <w:r>
              <w:t>21, 25, 27, 28, 29, 31, 35, 37, 38, 39</w:t>
            </w:r>
            <w:r w:rsidRPr="0015763E">
              <w:t>, 54, 63</w:t>
            </w:r>
            <w:r>
              <w:t>, 64 - цифры, проверяется длина значения поля: 8 или 14 символов, в т.ч. значимые 0.</w:t>
            </w:r>
          </w:p>
          <w:p w:rsidR="00342998" w:rsidRDefault="00342998" w:rsidP="0015763E">
            <w:pPr>
              <w:widowControl w:val="0"/>
              <w:tabs>
                <w:tab w:val="left" w:pos="397"/>
              </w:tabs>
              <w:spacing w:after="0" w:line="240" w:lineRule="auto"/>
              <w:ind w:left="568"/>
              <w:jc w:val="both"/>
            </w:pPr>
          </w:p>
          <w:p w:rsidR="00342998" w:rsidRDefault="003264FA" w:rsidP="0015763E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 w:line="240" w:lineRule="auto"/>
              <w:jc w:val="both"/>
            </w:pPr>
            <w:r>
              <w:t xml:space="preserve">22, 32 - </w:t>
            </w:r>
            <w:r w:rsidR="0015763E">
              <w:t>цифры, проверяется</w:t>
            </w:r>
            <w:r>
              <w:t xml:space="preserve"> длина значения поля: 8 или 14 символов, в т.ч. значимые 0 либо «Минобороны» без кавычек</w:t>
            </w:r>
          </w:p>
          <w:p w:rsidR="00342998" w:rsidRDefault="00342998" w:rsidP="0015763E">
            <w:pPr>
              <w:widowControl w:val="0"/>
              <w:tabs>
                <w:tab w:val="left" w:pos="397"/>
              </w:tabs>
              <w:spacing w:after="0" w:line="240" w:lineRule="auto"/>
              <w:ind w:left="568"/>
              <w:jc w:val="both"/>
            </w:pPr>
          </w:p>
          <w:p w:rsidR="00342998" w:rsidRDefault="003264FA" w:rsidP="0015763E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 w:line="240" w:lineRule="auto"/>
              <w:jc w:val="both"/>
            </w:pPr>
            <w:r>
              <w:t>81, 82, 83, 85, 86, 87 - выбор из ОКСМ, обязательно примечание.</w:t>
            </w:r>
          </w:p>
          <w:p w:rsidR="00342998" w:rsidRDefault="00342998" w:rsidP="0015763E">
            <w:pPr>
              <w:widowControl w:val="0"/>
              <w:tabs>
                <w:tab w:val="left" w:pos="397"/>
              </w:tabs>
              <w:spacing w:after="0" w:line="240" w:lineRule="auto"/>
              <w:ind w:left="568"/>
              <w:jc w:val="both"/>
            </w:pPr>
          </w:p>
          <w:p w:rsidR="00342998" w:rsidRDefault="003264FA" w:rsidP="0015763E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 w:line="240" w:lineRule="auto"/>
              <w:jc w:val="both"/>
            </w:pPr>
            <w:r>
              <w:t>97, 98, 99 - цифры, проверяется длина значения поля: 8 или 14 символов, в т.ч. значимые 0</w:t>
            </w:r>
          </w:p>
        </w:tc>
      </w:tr>
      <w:tr w:rsidR="0015763E" w:rsidRPr="0015763E" w:rsidTr="0015763E">
        <w:trPr>
          <w:trHeight w:val="97"/>
          <w:jc w:val="center"/>
        </w:trPr>
        <w:tc>
          <w:tcPr>
            <w:tcW w:w="737" w:type="dxa"/>
            <w:vMerge w:val="restart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  <w:vMerge w:val="restart"/>
          </w:tcPr>
          <w:p w:rsidR="00342998" w:rsidRDefault="003264FA">
            <w:pPr>
              <w:spacing w:after="0"/>
            </w:pPr>
            <w:r>
              <w:t xml:space="preserve">Код ОКПО перевозчика </w:t>
            </w:r>
          </w:p>
        </w:tc>
        <w:tc>
          <w:tcPr>
            <w:tcW w:w="2296" w:type="dxa"/>
            <w:vMerge w:val="restart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  <w:shd w:val="clear" w:color="auto" w:fill="DEEAF6"/>
          </w:tcPr>
          <w:p w:rsidR="00342998" w:rsidRDefault="003264FA">
            <w:pPr>
              <w:widowControl w:val="0"/>
              <w:tabs>
                <w:tab w:val="left" w:pos="397"/>
              </w:tabs>
              <w:spacing w:after="0"/>
            </w:pPr>
            <w:r>
              <w:t>Автозаполнение</w:t>
            </w:r>
          </w:p>
        </w:tc>
        <w:tc>
          <w:tcPr>
            <w:tcW w:w="5662" w:type="dxa"/>
            <w:shd w:val="clear" w:color="auto" w:fill="DEEAF6"/>
          </w:tcPr>
          <w:p w:rsidR="009E165E" w:rsidRPr="0015763E" w:rsidRDefault="009E165E" w:rsidP="009E165E">
            <w:pPr>
              <w:widowControl w:val="0"/>
              <w:tabs>
                <w:tab w:val="left" w:pos="397"/>
              </w:tabs>
              <w:spacing w:after="0" w:line="240" w:lineRule="auto"/>
            </w:pPr>
            <w:r w:rsidRPr="0015763E">
              <w:t>- «-», без кавычек</w:t>
            </w:r>
          </w:p>
          <w:p w:rsidR="00342998" w:rsidRPr="0015763E" w:rsidRDefault="003264FA" w:rsidP="0015763E">
            <w:pPr>
              <w:widowControl w:val="0"/>
              <w:tabs>
                <w:tab w:val="left" w:pos="397"/>
              </w:tabs>
              <w:spacing w:after="0" w:line="240" w:lineRule="auto"/>
            </w:pPr>
            <w:r w:rsidRPr="0015763E">
              <w:t>Для операций 10, 11,12, 15, 17, 18, 41, 42, 43, 46, 53, 54, 58, 65, 67, 68, 71, 72, 73, 74, 75, 76, 97, 98</w:t>
            </w:r>
          </w:p>
        </w:tc>
      </w:tr>
      <w:tr w:rsidR="00342998" w:rsidTr="0015763E">
        <w:trPr>
          <w:trHeight w:val="96"/>
          <w:jc w:val="center"/>
        </w:trPr>
        <w:tc>
          <w:tcPr>
            <w:tcW w:w="737" w:type="dxa"/>
            <w:vMerge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  <w:vMerge/>
          </w:tcPr>
          <w:p w:rsidR="00342998" w:rsidRDefault="00342998">
            <w:pPr>
              <w:spacing w:after="0"/>
            </w:pPr>
          </w:p>
        </w:tc>
        <w:tc>
          <w:tcPr>
            <w:tcW w:w="2296" w:type="dxa"/>
            <w:vMerge/>
          </w:tcPr>
          <w:p w:rsidR="00342998" w:rsidRDefault="00342998">
            <w:pPr>
              <w:widowControl w:val="0"/>
              <w:spacing w:after="0"/>
              <w:jc w:val="center"/>
            </w:pPr>
          </w:p>
        </w:tc>
        <w:tc>
          <w:tcPr>
            <w:tcW w:w="2722" w:type="dxa"/>
          </w:tcPr>
          <w:p w:rsidR="00342998" w:rsidRDefault="00342998">
            <w:pPr>
              <w:widowControl w:val="0"/>
              <w:tabs>
                <w:tab w:val="left" w:pos="397"/>
              </w:tabs>
              <w:spacing w:after="0"/>
            </w:pPr>
          </w:p>
        </w:tc>
        <w:tc>
          <w:tcPr>
            <w:tcW w:w="5662" w:type="dxa"/>
          </w:tcPr>
          <w:p w:rsidR="00342998" w:rsidRDefault="003264FA" w:rsidP="0015763E">
            <w:pPr>
              <w:widowControl w:val="0"/>
              <w:tabs>
                <w:tab w:val="left" w:pos="397"/>
              </w:tabs>
              <w:spacing w:after="0" w:line="240" w:lineRule="auto"/>
            </w:pPr>
            <w:r>
              <w:t>Для других операций:</w:t>
            </w:r>
          </w:p>
          <w:p w:rsidR="00342998" w:rsidRDefault="003264FA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 w:line="240" w:lineRule="auto"/>
            </w:pPr>
            <w:r>
              <w:t>21, 25, 27, 28, 29, 31, 32, 35, 36, 37, 38, 39, 61, 62, 81, 82, 83, 85, 86, 87 - цифры, проверяется длина значения поля: 8 или 14 символов, в т.ч. значимые 0</w:t>
            </w:r>
          </w:p>
          <w:p w:rsidR="00342998" w:rsidRDefault="00342998" w:rsidP="0015763E">
            <w:pPr>
              <w:widowControl w:val="0"/>
              <w:tabs>
                <w:tab w:val="left" w:pos="397"/>
              </w:tabs>
              <w:spacing w:after="0" w:line="240" w:lineRule="auto"/>
              <w:ind w:left="568"/>
            </w:pPr>
          </w:p>
          <w:p w:rsidR="00342998" w:rsidRDefault="003264FA" w:rsidP="0015763E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spacing w:after="0"/>
            </w:pPr>
            <w:r>
              <w:t>Коды операций 22,32 либо цифры, либо «Минобороны»</w:t>
            </w:r>
            <w:r w:rsidR="0015763E">
              <w:t xml:space="preserve"> </w:t>
            </w:r>
            <w:r w:rsidR="0015763E" w:rsidRPr="0015763E">
              <w:t>без кавычек</w:t>
            </w: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Наименование прибора (установки)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Выбор из справочника приборов, УКТ… или вручную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Не пустое поле.</w:t>
            </w:r>
          </w:p>
          <w:p w:rsidR="00342998" w:rsidRDefault="00342998">
            <w:pPr>
              <w:widowControl w:val="0"/>
              <w:tabs>
                <w:tab w:val="left" w:pos="397"/>
              </w:tabs>
              <w:spacing w:after="0"/>
            </w:pPr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Тип УКТ или прибора (установки)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</w:pPr>
            <w:r>
              <w:t>выбор из справочника приборов, УКТ… или вручную</w:t>
            </w:r>
          </w:p>
          <w:p w:rsidR="00342998" w:rsidRDefault="003264FA">
            <w:pPr>
              <w:spacing w:after="0"/>
            </w:pPr>
            <w:r>
              <w:t>Допускается «-»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</w:pPr>
            <w:r>
              <w:t>Не пустое поле.</w:t>
            </w:r>
            <w:bookmarkStart w:id="1" w:name="_GoBack"/>
            <w:bookmarkEnd w:id="1"/>
          </w:p>
        </w:tc>
      </w:tr>
      <w:tr w:rsidR="00342998" w:rsidTr="0015763E">
        <w:trPr>
          <w:jc w:val="center"/>
        </w:trPr>
        <w:tc>
          <w:tcPr>
            <w:tcW w:w="737" w:type="dxa"/>
          </w:tcPr>
          <w:p w:rsidR="00342998" w:rsidRDefault="00342998">
            <w:pPr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2887" w:type="dxa"/>
          </w:tcPr>
          <w:p w:rsidR="00342998" w:rsidRDefault="003264FA">
            <w:pPr>
              <w:spacing w:after="0"/>
            </w:pPr>
            <w:r>
              <w:t>Номер УКТ или прибора (установки)</w:t>
            </w:r>
          </w:p>
        </w:tc>
        <w:tc>
          <w:tcPr>
            <w:tcW w:w="2296" w:type="dxa"/>
          </w:tcPr>
          <w:p w:rsidR="00342998" w:rsidRDefault="003264FA">
            <w:pPr>
              <w:widowControl w:val="0"/>
              <w:spacing w:after="0"/>
              <w:jc w:val="center"/>
            </w:pPr>
            <w:r>
              <w:t>Обязательно</w:t>
            </w:r>
          </w:p>
        </w:tc>
        <w:tc>
          <w:tcPr>
            <w:tcW w:w="2722" w:type="dxa"/>
          </w:tcPr>
          <w:p w:rsidR="00342998" w:rsidRDefault="003264FA">
            <w:pPr>
              <w:spacing w:after="0"/>
              <w:rPr>
                <w:lang w:val="en-US"/>
              </w:rPr>
            </w:pPr>
            <w:r>
              <w:t>Допускается «-»</w:t>
            </w:r>
          </w:p>
        </w:tc>
        <w:tc>
          <w:tcPr>
            <w:tcW w:w="5662" w:type="dxa"/>
          </w:tcPr>
          <w:p w:rsidR="00342998" w:rsidRDefault="003264FA">
            <w:pPr>
              <w:spacing w:after="0"/>
              <w:rPr>
                <w:lang w:val="en-US"/>
              </w:rPr>
            </w:pPr>
            <w:r>
              <w:t>Не пустое поле.</w:t>
            </w:r>
          </w:p>
        </w:tc>
      </w:tr>
    </w:tbl>
    <w:p w:rsidR="00342998" w:rsidRDefault="00342998">
      <w:pPr>
        <w:ind w:firstLine="284"/>
        <w:rPr>
          <w:rFonts w:ascii="Times New Roman" w:hAnsi="Times New Roman" w:cs="Times New Roman"/>
        </w:rPr>
      </w:pPr>
    </w:p>
    <w:p w:rsidR="00342998" w:rsidRDefault="00342998">
      <w:pPr>
        <w:ind w:firstLine="284"/>
        <w:rPr>
          <w:rFonts w:ascii="Times New Roman" w:hAnsi="Times New Roman" w:cs="Times New Roman"/>
        </w:rPr>
      </w:pPr>
    </w:p>
    <w:sectPr w:rsidR="003429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4FA" w:rsidRDefault="003264FA">
      <w:pPr>
        <w:spacing w:after="0" w:line="240" w:lineRule="auto"/>
      </w:pPr>
      <w:r>
        <w:separator/>
      </w:r>
    </w:p>
  </w:endnote>
  <w:endnote w:type="continuationSeparator" w:id="0">
    <w:p w:rsidR="003264FA" w:rsidRDefault="0032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4FA" w:rsidRDefault="003264FA">
      <w:pPr>
        <w:spacing w:after="0" w:line="240" w:lineRule="auto"/>
      </w:pPr>
      <w:r>
        <w:separator/>
      </w:r>
    </w:p>
  </w:footnote>
  <w:footnote w:type="continuationSeparator" w:id="0">
    <w:p w:rsidR="003264FA" w:rsidRDefault="00326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60CF"/>
    <w:multiLevelType w:val="hybridMultilevel"/>
    <w:tmpl w:val="3D7E68EC"/>
    <w:lvl w:ilvl="0" w:tplc="C4AA2B0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FD00B23E">
      <w:start w:val="1"/>
      <w:numFmt w:val="bullet"/>
      <w:suff w:val="space"/>
      <w:lvlText w:val="-"/>
      <w:lvlJc w:val="left"/>
      <w:pPr>
        <w:ind w:left="0" w:firstLine="568"/>
      </w:pPr>
      <w:rPr>
        <w:rFonts w:ascii="Courier New" w:hAnsi="Courier New" w:hint="default"/>
      </w:rPr>
    </w:lvl>
    <w:lvl w:ilvl="2" w:tplc="8900324E">
      <w:start w:val="1"/>
      <w:numFmt w:val="bullet"/>
      <w:lvlText w:val="-"/>
      <w:lvlJc w:val="left"/>
      <w:pPr>
        <w:ind w:left="0" w:firstLine="852"/>
      </w:pPr>
      <w:rPr>
        <w:rFonts w:ascii="Courier New" w:hAnsi="Courier New" w:hint="default"/>
      </w:rPr>
    </w:lvl>
    <w:lvl w:ilvl="3" w:tplc="5176700E">
      <w:start w:val="1"/>
      <w:numFmt w:val="bullet"/>
      <w:lvlText w:val=""/>
      <w:lvlJc w:val="left"/>
      <w:pPr>
        <w:ind w:left="0" w:firstLine="1136"/>
      </w:pPr>
      <w:rPr>
        <w:rFonts w:ascii="Symbol" w:hAnsi="Symbol" w:hint="default"/>
      </w:rPr>
    </w:lvl>
    <w:lvl w:ilvl="4" w:tplc="36F6D216">
      <w:start w:val="1"/>
      <w:numFmt w:val="bullet"/>
      <w:lvlText w:val="o"/>
      <w:lvlJc w:val="left"/>
      <w:pPr>
        <w:ind w:left="0" w:firstLine="1420"/>
      </w:pPr>
      <w:rPr>
        <w:rFonts w:ascii="Courier New" w:hAnsi="Courier New" w:hint="default"/>
      </w:rPr>
    </w:lvl>
    <w:lvl w:ilvl="5" w:tplc="18B2BFE8">
      <w:start w:val="1"/>
      <w:numFmt w:val="bullet"/>
      <w:lvlText w:val=""/>
      <w:lvlJc w:val="left"/>
      <w:pPr>
        <w:ind w:left="0" w:firstLine="1704"/>
      </w:pPr>
      <w:rPr>
        <w:rFonts w:ascii="Wingdings" w:hAnsi="Wingdings" w:hint="default"/>
      </w:rPr>
    </w:lvl>
    <w:lvl w:ilvl="6" w:tplc="B51473AA">
      <w:start w:val="1"/>
      <w:numFmt w:val="bullet"/>
      <w:lvlText w:val=""/>
      <w:lvlJc w:val="left"/>
      <w:pPr>
        <w:ind w:left="0" w:firstLine="1988"/>
      </w:pPr>
      <w:rPr>
        <w:rFonts w:ascii="Symbol" w:hAnsi="Symbol" w:hint="default"/>
      </w:rPr>
    </w:lvl>
    <w:lvl w:ilvl="7" w:tplc="C352CA56">
      <w:start w:val="1"/>
      <w:numFmt w:val="bullet"/>
      <w:lvlText w:val="o"/>
      <w:lvlJc w:val="left"/>
      <w:pPr>
        <w:ind w:left="1988" w:firstLine="284"/>
      </w:pPr>
      <w:rPr>
        <w:rFonts w:ascii="Courier New" w:hAnsi="Courier New" w:cs="Courier New" w:hint="default"/>
      </w:rPr>
    </w:lvl>
    <w:lvl w:ilvl="8" w:tplc="C43226E2">
      <w:start w:val="1"/>
      <w:numFmt w:val="bullet"/>
      <w:lvlText w:val=""/>
      <w:lvlJc w:val="left"/>
      <w:pPr>
        <w:ind w:left="2272" w:firstLine="284"/>
      </w:pPr>
      <w:rPr>
        <w:rFonts w:ascii="Wingdings" w:hAnsi="Wingdings" w:hint="default"/>
      </w:rPr>
    </w:lvl>
  </w:abstractNum>
  <w:abstractNum w:abstractNumId="1" w15:restartNumberingAfterBreak="0">
    <w:nsid w:val="23356879"/>
    <w:multiLevelType w:val="multilevel"/>
    <w:tmpl w:val="EF06766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C860384"/>
    <w:multiLevelType w:val="hybridMultilevel"/>
    <w:tmpl w:val="0CC67C88"/>
    <w:lvl w:ilvl="0" w:tplc="075EF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6E14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A42C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D89F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68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F48C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7EA2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CE7D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602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98"/>
    <w:rsid w:val="0015763E"/>
    <w:rsid w:val="002F0E8B"/>
    <w:rsid w:val="003264FA"/>
    <w:rsid w:val="00342998"/>
    <w:rsid w:val="008A4345"/>
    <w:rsid w:val="009E165E"/>
    <w:rsid w:val="00C3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68566-B228-4DDD-A02A-BAFE29C9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5"/>
    <w:next w:val="a"/>
    <w:link w:val="10"/>
    <w:uiPriority w:val="9"/>
    <w:qFormat/>
    <w:pPr>
      <w:numPr>
        <w:ilvl w:val="0"/>
      </w:numPr>
      <w:tabs>
        <w:tab w:val="clear" w:pos="1276"/>
      </w:tabs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3"/>
      </w:numPr>
      <w:tabs>
        <w:tab w:val="left" w:pos="851"/>
      </w:tabs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3"/>
      </w:numPr>
      <w:spacing w:before="120" w:after="12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numPr>
        <w:ilvl w:val="4"/>
        <w:numId w:val="3"/>
      </w:numPr>
      <w:tabs>
        <w:tab w:val="left" w:pos="1276"/>
      </w:tabs>
      <w:spacing w:before="120" w:after="120" w:line="240" w:lineRule="auto"/>
      <w:jc w:val="both"/>
      <w:outlineLvl w:val="4"/>
    </w:pPr>
    <w:rPr>
      <w:rFonts w:ascii="Times New Roman" w:eastAsia="Calibri" w:hAnsi="Times New Roman" w:cs="Times New Roman"/>
      <w:b/>
      <w:bCs/>
      <w:iCs/>
      <w:sz w:val="24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3"/>
      </w:numPr>
      <w:spacing w:before="120" w:after="120" w:line="240" w:lineRule="auto"/>
      <w:jc w:val="both"/>
      <w:outlineLvl w:val="5"/>
    </w:pPr>
    <w:rPr>
      <w:rFonts w:ascii="Times New Roman" w:eastAsia="Calibri" w:hAnsi="Times New Roman" w:cs="Times New Roman"/>
      <w:b/>
      <w:bCs/>
      <w:sz w:val="24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3"/>
      </w:numPr>
      <w:spacing w:before="120" w:after="120" w:line="240" w:lineRule="auto"/>
      <w:jc w:val="both"/>
      <w:outlineLvl w:val="6"/>
    </w:pPr>
    <w:rPr>
      <w:rFonts w:ascii="Times New Roman" w:eastAsia="Calibri" w:hAnsi="Times New Roman" w:cs="Times New Roman"/>
      <w:b/>
      <w:sz w:val="24"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3"/>
      </w:numPr>
      <w:tabs>
        <w:tab w:val="left" w:pos="1985"/>
      </w:tabs>
      <w:spacing w:before="120" w:after="120" w:line="240" w:lineRule="auto"/>
      <w:jc w:val="both"/>
      <w:outlineLvl w:val="7"/>
    </w:pPr>
    <w:rPr>
      <w:rFonts w:ascii="Times New Roman" w:eastAsia="Calibri" w:hAnsi="Times New Roman" w:cs="Times New Roman"/>
      <w:b/>
      <w:iCs/>
      <w:sz w:val="24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3"/>
      </w:numPr>
      <w:spacing w:before="120" w:after="120" w:line="240" w:lineRule="auto"/>
      <w:outlineLvl w:val="8"/>
    </w:pPr>
    <w:rPr>
      <w:rFonts w:ascii="Times New Roman" w:eastAsia="Calibri" w:hAnsi="Times New Roman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Calibri" w:hAnsi="Times New Roman" w:cs="Times New Roman"/>
      <w:b/>
      <w:bCs/>
      <w:iCs/>
      <w:sz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Pr>
      <w:rFonts w:ascii="Times New Roman" w:eastAsia="Calibri" w:hAnsi="Times New Roman" w:cs="Times New Roman"/>
      <w:b/>
      <w:bCs/>
      <w:sz w:val="24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Calibri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Pr>
      <w:rFonts w:ascii="Times New Roman" w:eastAsia="Calibri" w:hAnsi="Times New Roman" w:cs="Times New Roman"/>
      <w:b/>
      <w:bCs/>
      <w:iCs/>
      <w:sz w:val="24"/>
    </w:rPr>
  </w:style>
  <w:style w:type="character" w:customStyle="1" w:styleId="60">
    <w:name w:val="Заголовок 6 Знак"/>
    <w:basedOn w:val="a0"/>
    <w:link w:val="6"/>
    <w:uiPriority w:val="9"/>
    <w:rPr>
      <w:rFonts w:ascii="Times New Roman" w:eastAsia="Calibri" w:hAnsi="Times New Roman" w:cs="Times New Roman"/>
      <w:b/>
      <w:bCs/>
      <w:sz w:val="24"/>
    </w:rPr>
  </w:style>
  <w:style w:type="character" w:customStyle="1" w:styleId="70">
    <w:name w:val="Заголовок 7 Знак"/>
    <w:basedOn w:val="a0"/>
    <w:link w:val="7"/>
    <w:uiPriority w:val="9"/>
    <w:rPr>
      <w:rFonts w:ascii="Times New Roman" w:eastAsia="Calibri" w:hAnsi="Times New Roman" w:cs="Times New Roman"/>
      <w:b/>
      <w:sz w:val="24"/>
    </w:rPr>
  </w:style>
  <w:style w:type="character" w:customStyle="1" w:styleId="80">
    <w:name w:val="Заголовок 8 Знак"/>
    <w:basedOn w:val="a0"/>
    <w:link w:val="8"/>
    <w:uiPriority w:val="9"/>
    <w:rPr>
      <w:rFonts w:ascii="Times New Roman" w:eastAsia="Calibri" w:hAnsi="Times New Roman" w:cs="Times New Roman"/>
      <w:b/>
      <w:iCs/>
      <w:sz w:val="24"/>
    </w:rPr>
  </w:style>
  <w:style w:type="character" w:customStyle="1" w:styleId="90">
    <w:name w:val="Заголовок 9 Знак"/>
    <w:basedOn w:val="a0"/>
    <w:link w:val="9"/>
    <w:uiPriority w:val="9"/>
    <w:rPr>
      <w:rFonts w:ascii="Times New Roman" w:eastAsia="Calibri" w:hAnsi="Times New Roman" w:cs="Times New Roman"/>
      <w:b/>
      <w:sz w:val="24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rPr>
      <w:rFonts w:ascii="Times New Roman" w:eastAsia="Times New Roman" w:hAnsi="Times New Roman" w:cs="Times New Roman"/>
      <w:sz w:val="24"/>
      <w:szCs w:val="24"/>
    </w:rPr>
  </w:style>
  <w:style w:type="paragraph" w:customStyle="1" w:styleId="anum">
    <w:name w:val="a_num"/>
    <w:basedOn w:val="a"/>
    <w:link w:val="anum0"/>
    <w:uiPriority w:val="99"/>
    <w:pPr>
      <w:tabs>
        <w:tab w:val="num" w:pos="1069"/>
      </w:tabs>
      <w:spacing w:after="0" w:line="360" w:lineRule="auto"/>
      <w:ind w:left="1069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num0">
    <w:name w:val="a_num Знак"/>
    <w:link w:val="anum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Чернобровкин Антон Юрьевич</dc:creator>
  <cp:keywords/>
  <dc:description/>
  <cp:lastModifiedBy>Старкова Марина Валерьевна</cp:lastModifiedBy>
  <cp:revision>3</cp:revision>
  <dcterms:created xsi:type="dcterms:W3CDTF">2022-03-16T08:02:00Z</dcterms:created>
  <dcterms:modified xsi:type="dcterms:W3CDTF">2022-03-16T08:31:00Z</dcterms:modified>
</cp:coreProperties>
</file>